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426"/>
        <w:jc w:val="both"/>
        <w:rPr>
          <w:b/>
          <w:sz w:val="28"/>
          <w:szCs w:val="28"/>
        </w:rPr>
        <w:outlineLvl w:val="0"/>
      </w:pPr>
      <w:r>
        <w:rPr>
          <w:sz w:val="28"/>
          <w:szCs w:val="28"/>
        </w:rPr>
        <w:t xml:space="preserve">Сообщаем,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ноября</w:t>
      </w:r>
      <w:r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 xml:space="preserve">состоится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игр</w:t>
      </w:r>
      <w:r>
        <w:rPr>
          <w:sz w:val="28"/>
          <w:szCs w:val="28"/>
        </w:rPr>
        <w:t xml:space="preserve">а-</w:t>
      </w:r>
      <w:r>
        <w:rPr>
          <w:sz w:val="28"/>
          <w:szCs w:val="28"/>
        </w:rPr>
        <w:t xml:space="preserve">конкурс «</w:t>
      </w:r>
      <w:r>
        <w:rPr>
          <w:sz w:val="28"/>
          <w:szCs w:val="28"/>
        </w:rPr>
        <w:t xml:space="preserve">Русский медвежонок-языкознание для всех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– Конкурс).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Конкурс проводится </w:t>
      </w:r>
      <w:r>
        <w:rPr>
          <w:b/>
          <w:sz w:val="28"/>
          <w:szCs w:val="24"/>
        </w:rPr>
        <w:t xml:space="preserve">по пяти</w:t>
      </w:r>
      <w:r>
        <w:rPr>
          <w:sz w:val="28"/>
          <w:szCs w:val="24"/>
        </w:rPr>
        <w:t xml:space="preserve"> возрастным группам:</w:t>
      </w:r>
      <w:r>
        <w:rPr>
          <w:b/>
          <w:sz w:val="28"/>
          <w:szCs w:val="24"/>
        </w:rPr>
        <w:t xml:space="preserve"> (1)2-3, 4-5, 6-7, 8-9 и 10-11 классы</w:t>
      </w:r>
      <w:r>
        <w:rPr>
          <w:sz w:val="28"/>
          <w:szCs w:val="24"/>
        </w:rPr>
        <w:t xml:space="preserve">. Каждой из них будет предложен свой вариант из 30 (2-3 классам — из 28) заданий по русскому языку и лингвистике, большинство из которых по силам обычному школьнику. </w:t>
      </w:r>
      <w:r>
        <w:rPr>
          <w:b/>
          <w:sz w:val="28"/>
          <w:szCs w:val="24"/>
        </w:rPr>
        <w:t xml:space="preserve">При желании могут попробовать свои силы (по вариантам 2-3 классов) и первоклассники</w:t>
      </w:r>
      <w:r>
        <w:rPr>
          <w:sz w:val="28"/>
          <w:szCs w:val="24"/>
        </w:rPr>
        <w:t xml:space="preserve">. Решений писать не нужно: достаточно выбрать из пяти предложенных вари</w:t>
      </w:r>
      <w:r>
        <w:rPr>
          <w:sz w:val="28"/>
          <w:szCs w:val="24"/>
        </w:rPr>
        <w:t xml:space="preserve">антов ответа правильный и отметить его номер на специальном бланке. Итоги конкурса подводятся отдельно по классам. Все участники игры получают соответствующие сертификаты, а лучшие — призы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Все участники конкурса получают сертификат от Российского оргкомитета, лучшие награждаются подарками от Регионального оргкомитета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материалами прошлых лет можно ознакомиться на сайте 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kirov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Закона РФ «О персональных данных» в целях обработки персональных данных участников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онкурса необходимо получение согласия родителей (законных представителей) участников.</w:t>
      </w:r>
      <w:r>
        <w:rPr>
          <w:bCs/>
          <w:sz w:val="28"/>
          <w:szCs w:val="28"/>
        </w:rPr>
        <w:t xml:space="preserve"> Факт передачи образовательным учреждением бланков ответов участников Конкурса на </w:t>
      </w:r>
      <w:r>
        <w:rPr>
          <w:bCs/>
          <w:sz w:val="28"/>
          <w:szCs w:val="28"/>
        </w:rPr>
        <w:t xml:space="preserve">обработку означает, что </w:t>
      </w:r>
      <w:r>
        <w:rPr>
          <w:bCs/>
          <w:sz w:val="28"/>
          <w:szCs w:val="28"/>
        </w:rPr>
        <w:t xml:space="preserve">образовательная организация гарантирует наличие требуемого законодательством согласия родителей (законных представителей) на обработку персональных данных авторов ответов, необходимую для проведения Конкурса, и несёт всю вытекающую из этого ответственность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 xml:space="preserve">Конкурсе</w:t>
      </w:r>
      <w:r>
        <w:rPr>
          <w:sz w:val="28"/>
          <w:szCs w:val="28"/>
        </w:rPr>
        <w:t xml:space="preserve"> необходимо в срок до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3 года </w:t>
      </w:r>
      <w:r>
        <w:rPr>
          <w:sz w:val="28"/>
          <w:szCs w:val="28"/>
        </w:rPr>
        <w:t xml:space="preserve">направить Региональному организатору следующие материалы: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numPr>
          <w:ilvl w:val="0"/>
          <w:numId w:val="1"/>
        </w:numPr>
        <w:ind w:left="924" w:hanging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официальную заявку от образовательной организации/муниципалитета (см. Приложение №1/ №2);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участия 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онкурсе составляет </w:t>
      </w:r>
      <w:r>
        <w:rPr>
          <w:b/>
          <w:sz w:val="28"/>
          <w:szCs w:val="28"/>
        </w:rPr>
        <w:t xml:space="preserve">120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Сбор взносов осуществляет ответственный за проведение конкурса в образовательной организации. </w:t>
      </w:r>
      <w:r>
        <w:rPr>
          <w:b/>
          <w:sz w:val="28"/>
          <w:szCs w:val="28"/>
        </w:rPr>
        <w:t xml:space="preserve">Обращаем ваше внимание</w:t>
      </w:r>
      <w:r>
        <w:rPr>
          <w:sz w:val="28"/>
          <w:szCs w:val="28"/>
        </w:rPr>
        <w:t xml:space="preserve">, что от вз</w:t>
      </w:r>
      <w:r>
        <w:rPr>
          <w:sz w:val="28"/>
          <w:szCs w:val="28"/>
        </w:rPr>
        <w:t xml:space="preserve">носа каждого участника </w:t>
      </w:r>
      <w:r>
        <w:rPr>
          <w:b/>
          <w:sz w:val="28"/>
          <w:szCs w:val="28"/>
        </w:rPr>
        <w:t xml:space="preserve">5 рублей</w:t>
      </w:r>
      <w:r>
        <w:rPr>
          <w:sz w:val="28"/>
          <w:szCs w:val="28"/>
        </w:rPr>
        <w:t xml:space="preserve"> остается в образовательной организации на организационные расходы.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Оплата организационного взноса производится строго по безналичному расчету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Обращаем ваше внимание!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</w:t>
      </w:r>
      <w:r>
        <w:rPr>
          <w:b/>
          <w:sz w:val="28"/>
          <w:szCs w:val="28"/>
        </w:rPr>
        <w:t xml:space="preserve">неверного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перечисления</w:t>
      </w:r>
      <w:r>
        <w:rPr>
          <w:sz w:val="28"/>
          <w:szCs w:val="28"/>
        </w:rPr>
        <w:t xml:space="preserve"> денежных средств за участие в конкурсе данная группа обучающихся </w:t>
      </w:r>
      <w:r>
        <w:rPr>
          <w:b/>
          <w:sz w:val="28"/>
          <w:szCs w:val="28"/>
        </w:rPr>
        <w:t xml:space="preserve">лишается права участия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отсутствием фактической оплаты.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конкурса выдаются в печатном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перечислении денежных средств через </w:t>
      </w:r>
      <w:r>
        <w:rPr>
          <w:sz w:val="28"/>
          <w:szCs w:val="28"/>
        </w:rPr>
        <w:t xml:space="preserve">банк</w:t>
      </w:r>
      <w:r>
        <w:rPr>
          <w:sz w:val="28"/>
          <w:szCs w:val="28"/>
        </w:rPr>
        <w:t xml:space="preserve"> в платёжном поручении </w:t>
      </w:r>
      <w:r>
        <w:rPr>
          <w:b/>
          <w:sz w:val="28"/>
          <w:szCs w:val="28"/>
        </w:rPr>
        <w:t xml:space="preserve">необходимо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сделать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пометку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«За участие в конкурсе «</w:t>
      </w:r>
      <w:r>
        <w:rPr>
          <w:b/>
          <w:sz w:val="28"/>
          <w:szCs w:val="28"/>
        </w:rPr>
        <w:t xml:space="preserve">Русский медвежонок</w:t>
      </w:r>
      <w:r>
        <w:rPr>
          <w:b/>
          <w:sz w:val="28"/>
          <w:szCs w:val="28"/>
        </w:rPr>
        <w:t xml:space="preserve">» код школы...»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26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Заявку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копию квитанции направлять по </w:t>
      </w:r>
      <w:r>
        <w:rPr>
          <w:b/>
          <w:sz w:val="28"/>
          <w:szCs w:val="28"/>
        </w:rPr>
        <w:t xml:space="preserve">электронной почте: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highlight w:val="none"/>
        </w:rPr>
      </w:r>
      <w:hyperlink r:id="rId11" w:tooltip="mailto:konkurs.murmanskayaoblast@mail.ru" w:history="1">
        <w:r>
          <w:rPr>
            <w:rStyle w:val="870"/>
            <w:sz w:val="28"/>
            <w:szCs w:val="28"/>
            <w:shd w:val="clear" w:color="auto" w:fill="ffffff"/>
          </w:rPr>
          <w:t xml:space="preserve">konkurs.murmanskayaoblast@mail.ru</w:t>
        </w:r>
      </w:hyperlink>
      <w:r>
        <w:rPr>
          <w:color w:val="87898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Контактное лицо: </w:t>
      </w:r>
      <w:r>
        <w:rPr>
          <w:sz w:val="28"/>
          <w:szCs w:val="28"/>
        </w:rPr>
        <w:t xml:space="preserve">Абыева</w:t>
      </w:r>
      <w:r>
        <w:rPr>
          <w:sz w:val="28"/>
          <w:szCs w:val="28"/>
        </w:rPr>
        <w:t xml:space="preserve"> Вера Сергеевна, </w:t>
      </w:r>
      <w:r>
        <w:rPr>
          <w:sz w:val="28"/>
          <w:szCs w:val="28"/>
        </w:rPr>
        <w:t xml:space="preserve">региональный организатор</w:t>
      </w:r>
      <w:r>
        <w:rPr>
          <w:sz w:val="28"/>
          <w:szCs w:val="28"/>
        </w:rPr>
        <w:t xml:space="preserve">, мобильный телефон +7953-302-92-99.</w:t>
      </w: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2 л. в 1 экз.</w:t>
      </w:r>
      <w:r>
        <w:rPr>
          <w:sz w:val="28"/>
          <w:szCs w:val="28"/>
        </w:rPr>
        <w:t xml:space="preserve"> Квитанция отдельным файлом. </w:t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84610358"/>
      <w:docPartObj>
        <w:docPartGallery w:val="Page Numbers (Top of Page)"/>
        <w:docPartUnique w:val="true"/>
      </w:docPartObj>
      <w:rPr/>
    </w:sdtPr>
    <w:sdtContent>
      <w:p>
        <w:pPr>
          <w:pStyle w:val="87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16"/>
        <w:szCs w:val="16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5">
    <w:name w:val="Heading 1 Char"/>
    <w:basedOn w:val="859"/>
    <w:link w:val="855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4"/>
    <w:next w:val="854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59"/>
    <w:link w:val="856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859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859"/>
    <w:link w:val="858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9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9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9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4"/>
    <w:next w:val="854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9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4"/>
    <w:next w:val="854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9"/>
    <w:link w:val="700"/>
    <w:uiPriority w:val="10"/>
    <w:rPr>
      <w:sz w:val="48"/>
      <w:szCs w:val="48"/>
    </w:rPr>
  </w:style>
  <w:style w:type="paragraph" w:styleId="702">
    <w:name w:val="Subtitle"/>
    <w:basedOn w:val="854"/>
    <w:next w:val="854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9"/>
    <w:link w:val="702"/>
    <w:uiPriority w:val="11"/>
    <w:rPr>
      <w:sz w:val="24"/>
      <w:szCs w:val="24"/>
    </w:rPr>
  </w:style>
  <w:style w:type="paragraph" w:styleId="704">
    <w:name w:val="Quote"/>
    <w:basedOn w:val="854"/>
    <w:next w:val="854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4"/>
    <w:next w:val="854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9"/>
    <w:link w:val="876"/>
    <w:uiPriority w:val="99"/>
  </w:style>
  <w:style w:type="character" w:styleId="709">
    <w:name w:val="Footer Char"/>
    <w:basedOn w:val="859"/>
    <w:link w:val="878"/>
    <w:uiPriority w:val="99"/>
  </w:style>
  <w:style w:type="paragraph" w:styleId="710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878"/>
    <w:uiPriority w:val="99"/>
  </w:style>
  <w:style w:type="table" w:styleId="712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9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9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rPr>
      <w:rFonts w:ascii="Times New Roman" w:hAnsi="Times New Roman" w:eastAsia="Times New Roman"/>
    </w:rPr>
  </w:style>
  <w:style w:type="paragraph" w:styleId="855">
    <w:name w:val="Heading 1"/>
    <w:basedOn w:val="854"/>
    <w:next w:val="854"/>
    <w:link w:val="862"/>
    <w:qFormat/>
    <w:pPr>
      <w:jc w:val="both"/>
      <w:keepNext/>
      <w:outlineLvl w:val="0"/>
    </w:pPr>
    <w:rPr>
      <w:sz w:val="24"/>
    </w:rPr>
  </w:style>
  <w:style w:type="paragraph" w:styleId="856">
    <w:name w:val="Heading 3"/>
    <w:basedOn w:val="854"/>
    <w:next w:val="854"/>
    <w:link w:val="865"/>
    <w:uiPriority w:val="9"/>
    <w:semiHidden/>
    <w:unhideWhenUsed/>
    <w:qFormat/>
    <w:pPr>
      <w:keepLines/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857">
    <w:name w:val="Heading 4"/>
    <w:basedOn w:val="854"/>
    <w:next w:val="854"/>
    <w:link w:val="866"/>
    <w:uiPriority w:val="9"/>
    <w:semiHidden/>
    <w:unhideWhenUsed/>
    <w:qFormat/>
    <w:pPr>
      <w:keepLines/>
      <w:keepNext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58">
    <w:name w:val="Heading 5"/>
    <w:basedOn w:val="854"/>
    <w:next w:val="854"/>
    <w:link w:val="867"/>
    <w:uiPriority w:val="9"/>
    <w:semiHidden/>
    <w:unhideWhenUsed/>
    <w:qFormat/>
    <w:pPr>
      <w:keepLines/>
      <w:keepNext/>
      <w:spacing w:before="200"/>
      <w:outlineLvl w:val="4"/>
    </w:pPr>
    <w:rPr>
      <w:rFonts w:ascii="Cambria" w:hAnsi="Cambria"/>
      <w:color w:val="243f60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 w:customStyle="1">
    <w:name w:val="Заголовок 1 Знак"/>
    <w:link w:val="855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63">
    <w:name w:val="Body Text 3"/>
    <w:basedOn w:val="854"/>
    <w:link w:val="864"/>
    <w:rPr>
      <w:sz w:val="24"/>
    </w:rPr>
  </w:style>
  <w:style w:type="character" w:styleId="864" w:customStyle="1">
    <w:name w:val="Основной текст 3 Знак"/>
    <w:link w:val="86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65" w:customStyle="1">
    <w:name w:val="Заголовок 3 Знак"/>
    <w:link w:val="856"/>
    <w:uiPriority w:val="9"/>
    <w:semiHidden/>
    <w:rPr>
      <w:rFonts w:ascii="Cambria" w:hAnsi="Cambria" w:eastAsia="Times New Roman" w:cs="Times New Roman"/>
      <w:b/>
      <w:bCs/>
      <w:color w:val="4f81bd"/>
      <w:sz w:val="20"/>
      <w:szCs w:val="20"/>
      <w:lang w:eastAsia="ru-RU"/>
    </w:rPr>
  </w:style>
  <w:style w:type="character" w:styleId="866" w:customStyle="1">
    <w:name w:val="Заголовок 4 Знак"/>
    <w:link w:val="857"/>
    <w:uiPriority w:val="9"/>
    <w:semiHidden/>
    <w:rPr>
      <w:rFonts w:ascii="Cambria" w:hAnsi="Cambria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867" w:customStyle="1">
    <w:name w:val="Заголовок 5 Знак"/>
    <w:link w:val="858"/>
    <w:uiPriority w:val="9"/>
    <w:semiHidden/>
    <w:rPr>
      <w:rFonts w:ascii="Cambria" w:hAnsi="Cambria" w:eastAsia="Times New Roman" w:cs="Times New Roman"/>
      <w:color w:val="243f60"/>
      <w:sz w:val="20"/>
      <w:szCs w:val="20"/>
      <w:lang w:eastAsia="ru-RU"/>
    </w:rPr>
  </w:style>
  <w:style w:type="paragraph" w:styleId="868">
    <w:name w:val="Balloon Text"/>
    <w:basedOn w:val="854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link w:val="8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0">
    <w:name w:val="Hyperlink"/>
    <w:rPr>
      <w:color w:val="0000ff"/>
      <w:u w:val="single"/>
    </w:rPr>
  </w:style>
  <w:style w:type="table" w:styleId="871">
    <w:name w:val="Table Grid"/>
    <w:basedOn w:val="86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2">
    <w:name w:val="Strong"/>
    <w:uiPriority w:val="22"/>
    <w:qFormat/>
    <w:rPr>
      <w:b/>
      <w:bCs/>
    </w:rPr>
  </w:style>
  <w:style w:type="character" w:styleId="873" w:customStyle="1">
    <w:name w:val="apple-converted-space"/>
    <w:basedOn w:val="859"/>
  </w:style>
  <w:style w:type="character" w:styleId="874">
    <w:name w:val="Emphasis"/>
    <w:basedOn w:val="859"/>
    <w:uiPriority w:val="20"/>
    <w:qFormat/>
    <w:rPr>
      <w:i/>
      <w:iCs/>
    </w:rPr>
  </w:style>
  <w:style w:type="paragraph" w:styleId="875">
    <w:name w:val="Normal (Web)"/>
    <w:basedOn w:val="854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876">
    <w:name w:val="Header"/>
    <w:basedOn w:val="854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59"/>
    <w:link w:val="876"/>
    <w:uiPriority w:val="99"/>
    <w:rPr>
      <w:rFonts w:ascii="Times New Roman" w:hAnsi="Times New Roman" w:eastAsia="Times New Roman"/>
    </w:rPr>
  </w:style>
  <w:style w:type="paragraph" w:styleId="878">
    <w:name w:val="Footer"/>
    <w:basedOn w:val="854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59"/>
    <w:link w:val="878"/>
    <w:uiPriority w:val="99"/>
    <w:rPr>
      <w:rFonts w:ascii="Times New Roman" w:hAnsi="Times New Roman" w:eastAsia="Times New Roman"/>
    </w:rPr>
  </w:style>
  <w:style w:type="paragraph" w:styleId="880">
    <w:name w:val="List Paragraph"/>
    <w:basedOn w:val="85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konkurs.murmanskayaoblast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8C69-6CE6-4A2E-833A-2524B9AF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</dc:creator>
  <cp:keywords/>
  <cp:revision>13</cp:revision>
  <dcterms:created xsi:type="dcterms:W3CDTF">2021-01-14T12:10:00Z</dcterms:created>
  <dcterms:modified xsi:type="dcterms:W3CDTF">2023-10-09T11:12:46Z</dcterms:modified>
</cp:coreProperties>
</file>